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F956F" w14:textId="77777777" w:rsidR="006666B1" w:rsidRDefault="006666B1">
      <w:pPr>
        <w:spacing w:before="120" w:after="240"/>
        <w:jc w:val="center"/>
        <w:rPr>
          <w:color w:val="000000"/>
        </w:rPr>
      </w:pPr>
    </w:p>
    <w:p w14:paraId="2E316F1F" w14:textId="3980BA93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RISCOS</w:t>
      </w:r>
    </w:p>
    <w:p w14:paraId="4E277E87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81F94FA" w14:textId="3AFF86A7" w:rsid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Objeto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9A2A16" w:rsidRPr="009A2A16">
        <w:rPr>
          <w:rFonts w:ascii="Arial" w:eastAsia="Times New Roman" w:hAnsi="Arial" w:cs="Arial"/>
          <w:sz w:val="24"/>
          <w:szCs w:val="24"/>
          <w:lang w:eastAsia="pt-BR"/>
        </w:rPr>
        <w:t xml:space="preserve">Contratação de empresa especializada para elaboração de projetos básicos e executivos de engenharia para obras de reestruturação e contenção no curso do Rio </w:t>
      </w:r>
      <w:proofErr w:type="spellStart"/>
      <w:r w:rsidR="009A2A16" w:rsidRPr="009A2A16">
        <w:rPr>
          <w:rFonts w:ascii="Arial" w:eastAsia="Times New Roman" w:hAnsi="Arial" w:cs="Arial"/>
          <w:sz w:val="24"/>
          <w:szCs w:val="24"/>
          <w:lang w:eastAsia="pt-BR"/>
        </w:rPr>
        <w:t>Bitury</w:t>
      </w:r>
      <w:proofErr w:type="spellEnd"/>
      <w:r w:rsidR="009A2A16" w:rsidRPr="009A2A16"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="00C751D0"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Modalidade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: Concorrência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Vigência contratual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9A2A16">
        <w:rPr>
          <w:rFonts w:ascii="Arial" w:eastAsia="Times New Roman" w:hAnsi="Arial" w:cs="Arial"/>
          <w:sz w:val="24"/>
          <w:szCs w:val="24"/>
          <w:lang w:eastAsia="pt-BR"/>
        </w:rPr>
        <w:t>12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meses</w:t>
      </w:r>
    </w:p>
    <w:p w14:paraId="5C727E2E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EA2FB8F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Conceito Legal</w:t>
      </w:r>
    </w:p>
    <w:p w14:paraId="3D997464" w14:textId="77777777" w:rsidR="002855CD" w:rsidRPr="002855CD" w:rsidRDefault="002855CD" w:rsidP="009A2A16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A Matriz de Riscos é o instrumento que define a alocação objetiva dos riscos entre a Administração Pública e o contratado, indicando:</w:t>
      </w:r>
    </w:p>
    <w:p w14:paraId="4312F931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Eventos supervenientes;</w:t>
      </w:r>
    </w:p>
    <w:p w14:paraId="49EEB6F9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Responsável pelo risco;</w:t>
      </w:r>
    </w:p>
    <w:p w14:paraId="65EE570E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Consequências econômico-financeiras;</w:t>
      </w:r>
    </w:p>
    <w:p w14:paraId="038EA3CF" w14:textId="6EFD36DD" w:rsid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Medidas de mitigação.</w:t>
      </w:r>
    </w:p>
    <w:p w14:paraId="032EBEE4" w14:textId="77777777" w:rsidR="00C751D0" w:rsidRPr="002855CD" w:rsidRDefault="00C751D0" w:rsidP="00C751D0">
      <w:pPr>
        <w:suppressAutoHyphens w:val="0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332CEAE" w14:textId="5D8B10D7" w:rsidR="00BB3816" w:rsidRPr="009A2A16" w:rsidRDefault="002855CD" w:rsidP="00BB3816">
      <w:pPr>
        <w:contextualSpacing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A2A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2. </w:t>
      </w:r>
      <w:r w:rsidR="009A2A16" w:rsidRPr="009A2A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Riscos na Fase de Planejamento</w:t>
      </w:r>
    </w:p>
    <w:p w14:paraId="20605609" w14:textId="733051A6" w:rsidR="002855CD" w:rsidRDefault="002855CD" w:rsidP="008146D0">
      <w:pPr>
        <w:rPr>
          <w:rFonts w:ascii="Arial" w:eastAsia="Arial" w:hAnsi="Arial" w:cs="Arial"/>
          <w:sz w:val="24"/>
          <w:szCs w:val="24"/>
        </w:rPr>
      </w:pPr>
    </w:p>
    <w:tbl>
      <w:tblPr>
        <w:tblW w:w="9409" w:type="dxa"/>
        <w:tblCellSpacing w:w="15" w:type="dxa"/>
        <w:tblInd w:w="-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2066"/>
        <w:gridCol w:w="1356"/>
        <w:gridCol w:w="831"/>
        <w:gridCol w:w="658"/>
        <w:gridCol w:w="2660"/>
        <w:gridCol w:w="1502"/>
      </w:tblGrid>
      <w:tr w:rsidR="009A2A16" w14:paraId="340F641D" w14:textId="77777777" w:rsidTr="009A2A1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A1CEA0" w14:textId="77777777" w:rsidR="009A2A16" w:rsidRDefault="009A2A16" w:rsidP="009A2A1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>
              <w:rPr>
                <w:b/>
                <w:bCs/>
              </w:rPr>
              <w:t>Nº</w:t>
            </w:r>
          </w:p>
        </w:tc>
        <w:tc>
          <w:tcPr>
            <w:tcW w:w="0" w:type="auto"/>
            <w:vAlign w:val="center"/>
            <w:hideMark/>
          </w:tcPr>
          <w:p w14:paraId="07809404" w14:textId="77777777" w:rsidR="009A2A16" w:rsidRDefault="009A2A16" w:rsidP="009A2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Risco</w:t>
            </w:r>
          </w:p>
        </w:tc>
        <w:tc>
          <w:tcPr>
            <w:tcW w:w="0" w:type="auto"/>
            <w:vAlign w:val="center"/>
            <w:hideMark/>
          </w:tcPr>
          <w:p w14:paraId="6ABB004B" w14:textId="77777777" w:rsidR="009A2A16" w:rsidRDefault="009A2A16" w:rsidP="009A2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230728D8" w14:textId="77777777" w:rsidR="009A2A16" w:rsidRDefault="009A2A16" w:rsidP="009A2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64B6BA03" w14:textId="77777777" w:rsidR="009A2A16" w:rsidRDefault="009A2A16" w:rsidP="009A2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Nível</w:t>
            </w:r>
          </w:p>
        </w:tc>
        <w:tc>
          <w:tcPr>
            <w:tcW w:w="0" w:type="auto"/>
            <w:vAlign w:val="center"/>
            <w:hideMark/>
          </w:tcPr>
          <w:p w14:paraId="510AF33C" w14:textId="77777777" w:rsidR="009A2A16" w:rsidRDefault="009A2A16" w:rsidP="009A2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Mitigação</w:t>
            </w:r>
          </w:p>
        </w:tc>
        <w:tc>
          <w:tcPr>
            <w:tcW w:w="0" w:type="auto"/>
            <w:vAlign w:val="center"/>
            <w:hideMark/>
          </w:tcPr>
          <w:p w14:paraId="2C221F16" w14:textId="77777777" w:rsidR="009A2A16" w:rsidRDefault="009A2A16" w:rsidP="009A2A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Responsável</w:t>
            </w:r>
          </w:p>
        </w:tc>
      </w:tr>
      <w:tr w:rsidR="009A2A16" w14:paraId="6A5FDD1E" w14:textId="77777777" w:rsidTr="009A2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06D33" w14:textId="77777777" w:rsidR="009A2A16" w:rsidRDefault="009A2A16" w:rsidP="009A2A16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  <w:hideMark/>
          </w:tcPr>
          <w:p w14:paraId="52EA0E00" w14:textId="77777777" w:rsidR="009A2A16" w:rsidRDefault="009A2A16" w:rsidP="009A2A16">
            <w:pPr>
              <w:jc w:val="center"/>
            </w:pPr>
            <w:r>
              <w:t>Termo de Referência incompleto ou genérico</w:t>
            </w:r>
          </w:p>
        </w:tc>
        <w:tc>
          <w:tcPr>
            <w:tcW w:w="0" w:type="auto"/>
            <w:vAlign w:val="center"/>
            <w:hideMark/>
          </w:tcPr>
          <w:p w14:paraId="7827F2FC" w14:textId="77777777" w:rsidR="009A2A16" w:rsidRDefault="009A2A16" w:rsidP="009A2A16">
            <w:pPr>
              <w:jc w:val="center"/>
            </w:pPr>
            <w:r>
              <w:t>Média</w:t>
            </w:r>
          </w:p>
        </w:tc>
        <w:tc>
          <w:tcPr>
            <w:tcW w:w="0" w:type="auto"/>
            <w:vAlign w:val="center"/>
            <w:hideMark/>
          </w:tcPr>
          <w:p w14:paraId="2FA19759" w14:textId="77777777" w:rsidR="009A2A16" w:rsidRDefault="009A2A16" w:rsidP="009A2A16">
            <w:pPr>
              <w:jc w:val="center"/>
            </w:pPr>
            <w:r>
              <w:t>Alto</w:t>
            </w:r>
          </w:p>
        </w:tc>
        <w:tc>
          <w:tcPr>
            <w:tcW w:w="0" w:type="auto"/>
            <w:vAlign w:val="center"/>
            <w:hideMark/>
          </w:tcPr>
          <w:p w14:paraId="6537F717" w14:textId="77777777" w:rsidR="009A2A16" w:rsidRDefault="009A2A16" w:rsidP="009A2A16">
            <w:pPr>
              <w:jc w:val="center"/>
            </w:pPr>
            <w:r>
              <w:t>Alto</w:t>
            </w:r>
          </w:p>
        </w:tc>
        <w:tc>
          <w:tcPr>
            <w:tcW w:w="0" w:type="auto"/>
            <w:vAlign w:val="center"/>
            <w:hideMark/>
          </w:tcPr>
          <w:p w14:paraId="2F0F0B51" w14:textId="77777777" w:rsidR="009A2A16" w:rsidRDefault="009A2A16" w:rsidP="009A2A16">
            <w:pPr>
              <w:jc w:val="center"/>
            </w:pPr>
            <w:r>
              <w:t>Realizar estudo técnico preliminar detalhado (ETP) e envolver equipe multidisciplinar</w:t>
            </w:r>
          </w:p>
        </w:tc>
        <w:tc>
          <w:tcPr>
            <w:tcW w:w="0" w:type="auto"/>
            <w:vAlign w:val="center"/>
            <w:hideMark/>
          </w:tcPr>
          <w:p w14:paraId="6F31F3B8" w14:textId="77777777" w:rsidR="009A2A16" w:rsidRDefault="009A2A16" w:rsidP="009A2A16">
            <w:pPr>
              <w:jc w:val="center"/>
            </w:pPr>
            <w:r>
              <w:t>Secretaria Demandante</w:t>
            </w:r>
          </w:p>
        </w:tc>
      </w:tr>
      <w:tr w:rsidR="009A2A16" w14:paraId="6FE10594" w14:textId="77777777" w:rsidTr="009A2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2AABA" w14:textId="77777777" w:rsidR="009A2A16" w:rsidRDefault="009A2A16" w:rsidP="009A2A16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334C91D0" w14:textId="77777777" w:rsidR="009A2A16" w:rsidRDefault="009A2A16" w:rsidP="009A2A16">
            <w:pPr>
              <w:jc w:val="center"/>
            </w:pPr>
            <w:r>
              <w:t>Levantamentos topográficos e geotécnicos insuficientes</w:t>
            </w:r>
          </w:p>
        </w:tc>
        <w:tc>
          <w:tcPr>
            <w:tcW w:w="0" w:type="auto"/>
            <w:vAlign w:val="center"/>
            <w:hideMark/>
          </w:tcPr>
          <w:p w14:paraId="1B82B64D" w14:textId="77777777" w:rsidR="009A2A16" w:rsidRDefault="009A2A16" w:rsidP="009A2A16">
            <w:pPr>
              <w:jc w:val="center"/>
            </w:pPr>
            <w:r>
              <w:t>Média</w:t>
            </w:r>
          </w:p>
        </w:tc>
        <w:tc>
          <w:tcPr>
            <w:tcW w:w="0" w:type="auto"/>
            <w:vAlign w:val="center"/>
            <w:hideMark/>
          </w:tcPr>
          <w:p w14:paraId="0098645E" w14:textId="77777777" w:rsidR="009A2A16" w:rsidRDefault="009A2A16" w:rsidP="009A2A16">
            <w:pPr>
              <w:jc w:val="center"/>
            </w:pPr>
            <w:r>
              <w:t>Alto</w:t>
            </w:r>
          </w:p>
        </w:tc>
        <w:tc>
          <w:tcPr>
            <w:tcW w:w="0" w:type="auto"/>
            <w:vAlign w:val="center"/>
            <w:hideMark/>
          </w:tcPr>
          <w:p w14:paraId="714F2D0F" w14:textId="77777777" w:rsidR="009A2A16" w:rsidRDefault="009A2A16" w:rsidP="009A2A16">
            <w:pPr>
              <w:jc w:val="center"/>
            </w:pPr>
            <w:r>
              <w:t>Alto</w:t>
            </w:r>
          </w:p>
        </w:tc>
        <w:tc>
          <w:tcPr>
            <w:tcW w:w="0" w:type="auto"/>
            <w:vAlign w:val="center"/>
            <w:hideMark/>
          </w:tcPr>
          <w:p w14:paraId="05807A29" w14:textId="77777777" w:rsidR="009A2A16" w:rsidRDefault="009A2A16" w:rsidP="009A2A16">
            <w:pPr>
              <w:jc w:val="center"/>
            </w:pPr>
            <w:r>
              <w:t>Exigir visita técnica e prever sondagens mínimas no TR</w:t>
            </w:r>
          </w:p>
        </w:tc>
        <w:tc>
          <w:tcPr>
            <w:tcW w:w="0" w:type="auto"/>
            <w:vAlign w:val="center"/>
            <w:hideMark/>
          </w:tcPr>
          <w:p w14:paraId="2CDB3084" w14:textId="77777777" w:rsidR="009A2A16" w:rsidRDefault="009A2A16" w:rsidP="009A2A16">
            <w:pPr>
              <w:jc w:val="center"/>
            </w:pPr>
            <w:r>
              <w:t>Equipe Técnica</w:t>
            </w:r>
          </w:p>
        </w:tc>
      </w:tr>
      <w:tr w:rsidR="009A2A16" w14:paraId="7167FC67" w14:textId="77777777" w:rsidTr="009A2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FDF80" w14:textId="77777777" w:rsidR="009A2A16" w:rsidRDefault="009A2A16" w:rsidP="009A2A16">
            <w:pPr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14:paraId="5E4DF828" w14:textId="77777777" w:rsidR="009A2A16" w:rsidRDefault="009A2A16" w:rsidP="009A2A16">
            <w:pPr>
              <w:jc w:val="center"/>
            </w:pPr>
            <w:r>
              <w:t>Subestimação do orçamento estimado</w:t>
            </w:r>
          </w:p>
        </w:tc>
        <w:tc>
          <w:tcPr>
            <w:tcW w:w="0" w:type="auto"/>
            <w:vAlign w:val="center"/>
            <w:hideMark/>
          </w:tcPr>
          <w:p w14:paraId="7035FB62" w14:textId="77777777" w:rsidR="009A2A16" w:rsidRDefault="009A2A16" w:rsidP="009A2A16">
            <w:pPr>
              <w:jc w:val="center"/>
            </w:pPr>
            <w:r>
              <w:t>Média</w:t>
            </w:r>
          </w:p>
        </w:tc>
        <w:tc>
          <w:tcPr>
            <w:tcW w:w="0" w:type="auto"/>
            <w:vAlign w:val="center"/>
            <w:hideMark/>
          </w:tcPr>
          <w:p w14:paraId="61F9CB2C" w14:textId="77777777" w:rsidR="009A2A16" w:rsidRDefault="009A2A16" w:rsidP="009A2A16">
            <w:pPr>
              <w:jc w:val="center"/>
            </w:pPr>
            <w:r>
              <w:t>Alto</w:t>
            </w:r>
          </w:p>
        </w:tc>
        <w:tc>
          <w:tcPr>
            <w:tcW w:w="0" w:type="auto"/>
            <w:vAlign w:val="center"/>
            <w:hideMark/>
          </w:tcPr>
          <w:p w14:paraId="46F43877" w14:textId="77777777" w:rsidR="009A2A16" w:rsidRDefault="009A2A16" w:rsidP="009A2A16">
            <w:pPr>
              <w:jc w:val="center"/>
            </w:pPr>
            <w:r>
              <w:t>Alto</w:t>
            </w:r>
          </w:p>
        </w:tc>
        <w:tc>
          <w:tcPr>
            <w:tcW w:w="0" w:type="auto"/>
            <w:vAlign w:val="center"/>
            <w:hideMark/>
          </w:tcPr>
          <w:p w14:paraId="22271323" w14:textId="77777777" w:rsidR="009A2A16" w:rsidRDefault="009A2A16" w:rsidP="009A2A16">
            <w:pPr>
              <w:jc w:val="center"/>
            </w:pPr>
            <w:r>
              <w:t>Pesquisa de mercado ampla e uso de tabelas oficiais (SINAPI/SEINFRA)</w:t>
            </w:r>
          </w:p>
        </w:tc>
        <w:tc>
          <w:tcPr>
            <w:tcW w:w="0" w:type="auto"/>
            <w:vAlign w:val="center"/>
            <w:hideMark/>
          </w:tcPr>
          <w:p w14:paraId="5015DA64" w14:textId="77777777" w:rsidR="009A2A16" w:rsidRDefault="009A2A16" w:rsidP="009A2A16">
            <w:pPr>
              <w:jc w:val="center"/>
            </w:pPr>
            <w:r>
              <w:t>Setor de Engenharia</w:t>
            </w:r>
          </w:p>
        </w:tc>
      </w:tr>
      <w:tr w:rsidR="009A2A16" w14:paraId="1D6B015D" w14:textId="77777777" w:rsidTr="009A2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4ADF99" w14:textId="77777777" w:rsidR="009A2A16" w:rsidRDefault="009A2A16" w:rsidP="009A2A16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14:paraId="7C70C4DF" w14:textId="77777777" w:rsidR="009A2A16" w:rsidRDefault="009A2A16" w:rsidP="009A2A16">
            <w:pPr>
              <w:jc w:val="center"/>
            </w:pPr>
            <w:r>
              <w:t>Ausência de licenças ambientais prévias</w:t>
            </w:r>
          </w:p>
        </w:tc>
        <w:tc>
          <w:tcPr>
            <w:tcW w:w="0" w:type="auto"/>
            <w:vAlign w:val="center"/>
            <w:hideMark/>
          </w:tcPr>
          <w:p w14:paraId="0D3DAC7B" w14:textId="77777777" w:rsidR="009A2A16" w:rsidRDefault="009A2A16" w:rsidP="009A2A16">
            <w:pPr>
              <w:jc w:val="center"/>
            </w:pPr>
            <w:r>
              <w:t>Alta</w:t>
            </w:r>
          </w:p>
        </w:tc>
        <w:tc>
          <w:tcPr>
            <w:tcW w:w="0" w:type="auto"/>
            <w:vAlign w:val="center"/>
            <w:hideMark/>
          </w:tcPr>
          <w:p w14:paraId="120E9BC4" w14:textId="77777777" w:rsidR="009A2A16" w:rsidRDefault="009A2A16" w:rsidP="009A2A16">
            <w:pPr>
              <w:jc w:val="center"/>
            </w:pPr>
            <w:r>
              <w:t>Alto</w:t>
            </w:r>
          </w:p>
        </w:tc>
        <w:tc>
          <w:tcPr>
            <w:tcW w:w="0" w:type="auto"/>
            <w:vAlign w:val="center"/>
            <w:hideMark/>
          </w:tcPr>
          <w:p w14:paraId="557A60B4" w14:textId="77777777" w:rsidR="009A2A16" w:rsidRDefault="009A2A16" w:rsidP="009A2A16">
            <w:pPr>
              <w:jc w:val="center"/>
            </w:pPr>
            <w:r>
              <w:t>Crítico</w:t>
            </w:r>
          </w:p>
        </w:tc>
        <w:tc>
          <w:tcPr>
            <w:tcW w:w="0" w:type="auto"/>
            <w:vAlign w:val="center"/>
            <w:hideMark/>
          </w:tcPr>
          <w:p w14:paraId="52DCC390" w14:textId="77777777" w:rsidR="009A2A16" w:rsidRDefault="009A2A16" w:rsidP="009A2A16">
            <w:pPr>
              <w:jc w:val="center"/>
            </w:pPr>
            <w:r>
              <w:t>Consulta prévia aos órgãos ambientais e verificação da necessidade de LP/LAP</w:t>
            </w:r>
          </w:p>
        </w:tc>
        <w:tc>
          <w:tcPr>
            <w:tcW w:w="0" w:type="auto"/>
            <w:vAlign w:val="center"/>
            <w:hideMark/>
          </w:tcPr>
          <w:p w14:paraId="7A4753E9" w14:textId="77777777" w:rsidR="009A2A16" w:rsidRDefault="009A2A16" w:rsidP="009A2A16">
            <w:pPr>
              <w:jc w:val="center"/>
            </w:pPr>
            <w:r>
              <w:t>Secretaria de Meio Ambiente</w:t>
            </w:r>
          </w:p>
        </w:tc>
      </w:tr>
    </w:tbl>
    <w:p w14:paraId="3DFC9656" w14:textId="77777777" w:rsidR="00C751D0" w:rsidRDefault="00C751D0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3FA369B" w14:textId="5565552D" w:rsidR="00C751D0" w:rsidRPr="009A2A16" w:rsidRDefault="00C751D0" w:rsidP="00C751D0">
      <w:pPr>
        <w:contextualSpacing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A2A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3. </w:t>
      </w:r>
      <w:r w:rsidR="009A2A16" w:rsidRPr="009A2A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Riscos na Fase de Licitação</w:t>
      </w:r>
    </w:p>
    <w:p w14:paraId="1480C7C5" w14:textId="77777777" w:rsidR="00C751D0" w:rsidRPr="00C751D0" w:rsidRDefault="00C751D0" w:rsidP="00C751D0">
      <w:pPr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W w:w="9498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"/>
        <w:gridCol w:w="2062"/>
        <w:gridCol w:w="1453"/>
        <w:gridCol w:w="742"/>
        <w:gridCol w:w="640"/>
        <w:gridCol w:w="2693"/>
        <w:gridCol w:w="1560"/>
      </w:tblGrid>
      <w:tr w:rsidR="009A2A16" w:rsidRPr="009A2A16" w14:paraId="560D18F4" w14:textId="77777777" w:rsidTr="009A2A16">
        <w:trPr>
          <w:tblHeader/>
          <w:tblCellSpacing w:w="15" w:type="dxa"/>
        </w:trPr>
        <w:tc>
          <w:tcPr>
            <w:tcW w:w="303" w:type="dxa"/>
            <w:vAlign w:val="center"/>
            <w:hideMark/>
          </w:tcPr>
          <w:p w14:paraId="1E19047D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Nº</w:t>
            </w:r>
          </w:p>
        </w:tc>
        <w:tc>
          <w:tcPr>
            <w:tcW w:w="2032" w:type="dxa"/>
            <w:vAlign w:val="center"/>
            <w:hideMark/>
          </w:tcPr>
          <w:p w14:paraId="40CDF4B8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Risco</w:t>
            </w:r>
          </w:p>
        </w:tc>
        <w:tc>
          <w:tcPr>
            <w:tcW w:w="1423" w:type="dxa"/>
            <w:vAlign w:val="center"/>
            <w:hideMark/>
          </w:tcPr>
          <w:p w14:paraId="3832115C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Probabilidade</w:t>
            </w:r>
          </w:p>
        </w:tc>
        <w:tc>
          <w:tcPr>
            <w:tcW w:w="712" w:type="dxa"/>
            <w:vAlign w:val="center"/>
            <w:hideMark/>
          </w:tcPr>
          <w:p w14:paraId="73D0BA14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Impacto</w:t>
            </w:r>
          </w:p>
        </w:tc>
        <w:tc>
          <w:tcPr>
            <w:tcW w:w="610" w:type="dxa"/>
            <w:vAlign w:val="center"/>
            <w:hideMark/>
          </w:tcPr>
          <w:p w14:paraId="297F924B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Nível</w:t>
            </w:r>
          </w:p>
        </w:tc>
        <w:tc>
          <w:tcPr>
            <w:tcW w:w="2663" w:type="dxa"/>
            <w:vAlign w:val="center"/>
            <w:hideMark/>
          </w:tcPr>
          <w:p w14:paraId="1E1C18FF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Mitigação</w:t>
            </w:r>
          </w:p>
        </w:tc>
        <w:tc>
          <w:tcPr>
            <w:tcW w:w="1515" w:type="dxa"/>
            <w:vAlign w:val="center"/>
            <w:hideMark/>
          </w:tcPr>
          <w:p w14:paraId="36F7A8A2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Responsável</w:t>
            </w:r>
          </w:p>
        </w:tc>
      </w:tr>
      <w:tr w:rsidR="009A2A16" w:rsidRPr="009A2A16" w14:paraId="4F893123" w14:textId="77777777" w:rsidTr="009A2A16">
        <w:trPr>
          <w:tblCellSpacing w:w="15" w:type="dxa"/>
        </w:trPr>
        <w:tc>
          <w:tcPr>
            <w:tcW w:w="303" w:type="dxa"/>
            <w:vAlign w:val="center"/>
            <w:hideMark/>
          </w:tcPr>
          <w:p w14:paraId="4F833B21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5</w:t>
            </w:r>
          </w:p>
        </w:tc>
        <w:tc>
          <w:tcPr>
            <w:tcW w:w="2032" w:type="dxa"/>
            <w:vAlign w:val="center"/>
            <w:hideMark/>
          </w:tcPr>
          <w:p w14:paraId="78804FCE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Impugnações ao edital</w:t>
            </w:r>
          </w:p>
        </w:tc>
        <w:tc>
          <w:tcPr>
            <w:tcW w:w="1423" w:type="dxa"/>
            <w:vAlign w:val="center"/>
            <w:hideMark/>
          </w:tcPr>
          <w:p w14:paraId="6D828479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Média</w:t>
            </w:r>
          </w:p>
        </w:tc>
        <w:tc>
          <w:tcPr>
            <w:tcW w:w="712" w:type="dxa"/>
            <w:vAlign w:val="center"/>
            <w:hideMark/>
          </w:tcPr>
          <w:p w14:paraId="432112DD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Médio</w:t>
            </w:r>
          </w:p>
        </w:tc>
        <w:tc>
          <w:tcPr>
            <w:tcW w:w="610" w:type="dxa"/>
            <w:vAlign w:val="center"/>
            <w:hideMark/>
          </w:tcPr>
          <w:p w14:paraId="66DD7A54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Médio</w:t>
            </w:r>
          </w:p>
        </w:tc>
        <w:tc>
          <w:tcPr>
            <w:tcW w:w="2663" w:type="dxa"/>
            <w:vAlign w:val="center"/>
            <w:hideMark/>
          </w:tcPr>
          <w:p w14:paraId="59AAE4BF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Revisão jurídica prévia e clareza nos critérios técnicos</w:t>
            </w:r>
          </w:p>
        </w:tc>
        <w:tc>
          <w:tcPr>
            <w:tcW w:w="1515" w:type="dxa"/>
            <w:vAlign w:val="center"/>
            <w:hideMark/>
          </w:tcPr>
          <w:p w14:paraId="0C165360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Comissão de Licitação</w:t>
            </w:r>
          </w:p>
        </w:tc>
      </w:tr>
      <w:tr w:rsidR="009A2A16" w:rsidRPr="009A2A16" w14:paraId="7CE2D058" w14:textId="77777777" w:rsidTr="009A2A16">
        <w:trPr>
          <w:tblCellSpacing w:w="15" w:type="dxa"/>
        </w:trPr>
        <w:tc>
          <w:tcPr>
            <w:tcW w:w="303" w:type="dxa"/>
            <w:vAlign w:val="center"/>
            <w:hideMark/>
          </w:tcPr>
          <w:p w14:paraId="5D2EEC72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6</w:t>
            </w:r>
          </w:p>
        </w:tc>
        <w:tc>
          <w:tcPr>
            <w:tcW w:w="2032" w:type="dxa"/>
            <w:vAlign w:val="center"/>
            <w:hideMark/>
          </w:tcPr>
          <w:p w14:paraId="6C31BE5C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Baixa competitividade (poucos participantes)</w:t>
            </w:r>
          </w:p>
        </w:tc>
        <w:tc>
          <w:tcPr>
            <w:tcW w:w="1423" w:type="dxa"/>
            <w:vAlign w:val="center"/>
            <w:hideMark/>
          </w:tcPr>
          <w:p w14:paraId="4B60AD4F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Média</w:t>
            </w:r>
          </w:p>
        </w:tc>
        <w:tc>
          <w:tcPr>
            <w:tcW w:w="712" w:type="dxa"/>
            <w:vAlign w:val="center"/>
            <w:hideMark/>
          </w:tcPr>
          <w:p w14:paraId="56E57A1A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Médio</w:t>
            </w:r>
          </w:p>
        </w:tc>
        <w:tc>
          <w:tcPr>
            <w:tcW w:w="610" w:type="dxa"/>
            <w:vAlign w:val="center"/>
            <w:hideMark/>
          </w:tcPr>
          <w:p w14:paraId="3C8A1F72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Médio</w:t>
            </w:r>
          </w:p>
        </w:tc>
        <w:tc>
          <w:tcPr>
            <w:tcW w:w="2663" w:type="dxa"/>
            <w:vAlign w:val="center"/>
            <w:hideMark/>
          </w:tcPr>
          <w:p w14:paraId="19E536C0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Divulgação ampla e critérios técnicos compatíveis com o mercado</w:t>
            </w:r>
          </w:p>
        </w:tc>
        <w:tc>
          <w:tcPr>
            <w:tcW w:w="1515" w:type="dxa"/>
            <w:vAlign w:val="center"/>
            <w:hideMark/>
          </w:tcPr>
          <w:p w14:paraId="09723187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Comissão de Licitação</w:t>
            </w:r>
          </w:p>
        </w:tc>
      </w:tr>
      <w:tr w:rsidR="009A2A16" w:rsidRPr="009A2A16" w14:paraId="07F976DE" w14:textId="77777777" w:rsidTr="009A2A16">
        <w:trPr>
          <w:tblCellSpacing w:w="15" w:type="dxa"/>
        </w:trPr>
        <w:tc>
          <w:tcPr>
            <w:tcW w:w="303" w:type="dxa"/>
            <w:vAlign w:val="center"/>
            <w:hideMark/>
          </w:tcPr>
          <w:p w14:paraId="245FCB0A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7</w:t>
            </w:r>
          </w:p>
        </w:tc>
        <w:tc>
          <w:tcPr>
            <w:tcW w:w="2032" w:type="dxa"/>
            <w:vAlign w:val="center"/>
            <w:hideMark/>
          </w:tcPr>
          <w:p w14:paraId="09FCF6E8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Propostas com preços inexequíveis</w:t>
            </w:r>
          </w:p>
        </w:tc>
        <w:tc>
          <w:tcPr>
            <w:tcW w:w="1423" w:type="dxa"/>
            <w:vAlign w:val="center"/>
            <w:hideMark/>
          </w:tcPr>
          <w:p w14:paraId="4898E591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Média</w:t>
            </w:r>
          </w:p>
        </w:tc>
        <w:tc>
          <w:tcPr>
            <w:tcW w:w="712" w:type="dxa"/>
            <w:vAlign w:val="center"/>
            <w:hideMark/>
          </w:tcPr>
          <w:p w14:paraId="2CABC9DD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610" w:type="dxa"/>
            <w:vAlign w:val="center"/>
            <w:hideMark/>
          </w:tcPr>
          <w:p w14:paraId="556BE320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2663" w:type="dxa"/>
            <w:vAlign w:val="center"/>
            <w:hideMark/>
          </w:tcPr>
          <w:p w14:paraId="26F5132D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Exigir planilha detalhada e realizar análise de exequibilidade</w:t>
            </w:r>
          </w:p>
        </w:tc>
        <w:tc>
          <w:tcPr>
            <w:tcW w:w="1515" w:type="dxa"/>
            <w:vAlign w:val="center"/>
            <w:hideMark/>
          </w:tcPr>
          <w:p w14:paraId="22ED62F1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Comissão + Engenharia</w:t>
            </w:r>
          </w:p>
        </w:tc>
      </w:tr>
    </w:tbl>
    <w:p w14:paraId="6F9B7046" w14:textId="6FE0312A" w:rsidR="00C751D0" w:rsidRPr="009A2A16" w:rsidRDefault="00C751D0" w:rsidP="002855CD">
      <w:pPr>
        <w:suppressAutoHyphens w:val="0"/>
        <w:spacing w:before="100" w:beforeAutospacing="1" w:after="100" w:afterAutospacing="1" w:line="240" w:lineRule="auto"/>
        <w:rPr>
          <w:rFonts w:ascii="Arial" w:hAnsi="Arial" w:cs="Arial"/>
          <w:b/>
          <w:bCs/>
          <w:sz w:val="24"/>
          <w:szCs w:val="24"/>
        </w:rPr>
      </w:pPr>
    </w:p>
    <w:p w14:paraId="478915AE" w14:textId="154EF927" w:rsidR="00C751D0" w:rsidRDefault="00C751D0" w:rsidP="00CC2DDF">
      <w:pPr>
        <w:contextualSpacing/>
        <w:rPr>
          <w:rFonts w:ascii="Arial" w:hAnsi="Arial" w:cs="Arial"/>
          <w:b/>
          <w:bCs/>
          <w:sz w:val="24"/>
          <w:szCs w:val="24"/>
        </w:rPr>
      </w:pPr>
      <w:r w:rsidRPr="00C751D0">
        <w:rPr>
          <w:rFonts w:ascii="Arial" w:hAnsi="Arial" w:cs="Arial"/>
          <w:b/>
          <w:bCs/>
          <w:sz w:val="24"/>
          <w:szCs w:val="24"/>
        </w:rPr>
        <w:t>4.</w:t>
      </w:r>
      <w:r w:rsidR="009A2A16">
        <w:rPr>
          <w:rFonts w:ascii="Arial" w:hAnsi="Arial" w:cs="Arial"/>
          <w:b/>
          <w:bCs/>
          <w:sz w:val="24"/>
          <w:szCs w:val="24"/>
        </w:rPr>
        <w:t xml:space="preserve"> </w:t>
      </w:r>
      <w:r w:rsidR="009A2A16" w:rsidRPr="009A2A16">
        <w:rPr>
          <w:rFonts w:ascii="Arial" w:hAnsi="Arial" w:cs="Arial"/>
          <w:b/>
          <w:bCs/>
          <w:sz w:val="24"/>
          <w:szCs w:val="24"/>
        </w:rPr>
        <w:t>Riscos na Fase de Execução Contratual</w:t>
      </w:r>
    </w:p>
    <w:p w14:paraId="0EEA0ECA" w14:textId="77777777" w:rsidR="00CC2DDF" w:rsidRPr="00CC2DDF" w:rsidRDefault="00CC2DDF" w:rsidP="00CC2DDF">
      <w:pPr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W w:w="9498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2061"/>
        <w:gridCol w:w="1418"/>
        <w:gridCol w:w="708"/>
        <w:gridCol w:w="709"/>
        <w:gridCol w:w="2693"/>
        <w:gridCol w:w="1560"/>
      </w:tblGrid>
      <w:tr w:rsidR="009A2A16" w:rsidRPr="009A2A16" w14:paraId="6A316B73" w14:textId="77777777" w:rsidTr="009A2A16">
        <w:trPr>
          <w:tblHeader/>
          <w:tblCellSpacing w:w="15" w:type="dxa"/>
        </w:trPr>
        <w:tc>
          <w:tcPr>
            <w:tcW w:w="304" w:type="dxa"/>
            <w:vAlign w:val="center"/>
            <w:hideMark/>
          </w:tcPr>
          <w:p w14:paraId="56EBAB8B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Nº</w:t>
            </w:r>
          </w:p>
        </w:tc>
        <w:tc>
          <w:tcPr>
            <w:tcW w:w="2031" w:type="dxa"/>
            <w:vAlign w:val="center"/>
            <w:hideMark/>
          </w:tcPr>
          <w:p w14:paraId="2A20C864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Risco</w:t>
            </w:r>
          </w:p>
        </w:tc>
        <w:tc>
          <w:tcPr>
            <w:tcW w:w="1388" w:type="dxa"/>
            <w:vAlign w:val="center"/>
            <w:hideMark/>
          </w:tcPr>
          <w:p w14:paraId="46B47673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Probabilidade</w:t>
            </w:r>
          </w:p>
        </w:tc>
        <w:tc>
          <w:tcPr>
            <w:tcW w:w="678" w:type="dxa"/>
            <w:vAlign w:val="center"/>
            <w:hideMark/>
          </w:tcPr>
          <w:p w14:paraId="1430F69E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Impacto</w:t>
            </w:r>
          </w:p>
        </w:tc>
        <w:tc>
          <w:tcPr>
            <w:tcW w:w="679" w:type="dxa"/>
            <w:vAlign w:val="center"/>
            <w:hideMark/>
          </w:tcPr>
          <w:p w14:paraId="3571C0E6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Nível</w:t>
            </w:r>
          </w:p>
        </w:tc>
        <w:tc>
          <w:tcPr>
            <w:tcW w:w="2663" w:type="dxa"/>
            <w:vAlign w:val="center"/>
            <w:hideMark/>
          </w:tcPr>
          <w:p w14:paraId="6802058E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Mitigação</w:t>
            </w:r>
          </w:p>
        </w:tc>
        <w:tc>
          <w:tcPr>
            <w:tcW w:w="1515" w:type="dxa"/>
            <w:vAlign w:val="center"/>
            <w:hideMark/>
          </w:tcPr>
          <w:p w14:paraId="309BF5CC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Responsável</w:t>
            </w:r>
          </w:p>
        </w:tc>
      </w:tr>
      <w:tr w:rsidR="009A2A16" w:rsidRPr="009A2A16" w14:paraId="5492AD7E" w14:textId="77777777" w:rsidTr="009A2A16">
        <w:trPr>
          <w:tblCellSpacing w:w="15" w:type="dxa"/>
        </w:trPr>
        <w:tc>
          <w:tcPr>
            <w:tcW w:w="304" w:type="dxa"/>
            <w:vAlign w:val="center"/>
            <w:hideMark/>
          </w:tcPr>
          <w:p w14:paraId="04F3FA8A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8</w:t>
            </w:r>
          </w:p>
        </w:tc>
        <w:tc>
          <w:tcPr>
            <w:tcW w:w="2031" w:type="dxa"/>
            <w:vAlign w:val="center"/>
            <w:hideMark/>
          </w:tcPr>
          <w:p w14:paraId="1EDF38DB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Atraso na entrega dos projetos</w:t>
            </w:r>
          </w:p>
        </w:tc>
        <w:tc>
          <w:tcPr>
            <w:tcW w:w="1388" w:type="dxa"/>
            <w:vAlign w:val="center"/>
            <w:hideMark/>
          </w:tcPr>
          <w:p w14:paraId="7494F04A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Média</w:t>
            </w:r>
          </w:p>
        </w:tc>
        <w:tc>
          <w:tcPr>
            <w:tcW w:w="678" w:type="dxa"/>
            <w:vAlign w:val="center"/>
            <w:hideMark/>
          </w:tcPr>
          <w:p w14:paraId="10D332B5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679" w:type="dxa"/>
            <w:vAlign w:val="center"/>
            <w:hideMark/>
          </w:tcPr>
          <w:p w14:paraId="114D0BEB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2663" w:type="dxa"/>
            <w:vAlign w:val="center"/>
            <w:hideMark/>
          </w:tcPr>
          <w:p w14:paraId="53CEF8C2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Previsão de cronograma físico com marcos e aplicação de penalidades</w:t>
            </w:r>
          </w:p>
        </w:tc>
        <w:tc>
          <w:tcPr>
            <w:tcW w:w="1515" w:type="dxa"/>
            <w:vAlign w:val="center"/>
            <w:hideMark/>
          </w:tcPr>
          <w:p w14:paraId="462A01C5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Fiscal do Contrato</w:t>
            </w:r>
          </w:p>
        </w:tc>
      </w:tr>
      <w:tr w:rsidR="009A2A16" w:rsidRPr="009A2A16" w14:paraId="1BDD376F" w14:textId="77777777" w:rsidTr="009A2A16">
        <w:trPr>
          <w:tblCellSpacing w:w="15" w:type="dxa"/>
        </w:trPr>
        <w:tc>
          <w:tcPr>
            <w:tcW w:w="304" w:type="dxa"/>
            <w:vAlign w:val="center"/>
            <w:hideMark/>
          </w:tcPr>
          <w:p w14:paraId="1A16AD31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9</w:t>
            </w:r>
          </w:p>
        </w:tc>
        <w:tc>
          <w:tcPr>
            <w:tcW w:w="2031" w:type="dxa"/>
            <w:vAlign w:val="center"/>
            <w:hideMark/>
          </w:tcPr>
          <w:p w14:paraId="72FEF249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Projetos incompatíveis ou incompletos</w:t>
            </w:r>
          </w:p>
        </w:tc>
        <w:tc>
          <w:tcPr>
            <w:tcW w:w="1388" w:type="dxa"/>
            <w:vAlign w:val="center"/>
            <w:hideMark/>
          </w:tcPr>
          <w:p w14:paraId="39A1D148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Média</w:t>
            </w:r>
          </w:p>
        </w:tc>
        <w:tc>
          <w:tcPr>
            <w:tcW w:w="678" w:type="dxa"/>
            <w:vAlign w:val="center"/>
            <w:hideMark/>
          </w:tcPr>
          <w:p w14:paraId="0FE68D41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679" w:type="dxa"/>
            <w:vAlign w:val="center"/>
            <w:hideMark/>
          </w:tcPr>
          <w:p w14:paraId="1AC59EC7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2663" w:type="dxa"/>
            <w:vAlign w:val="center"/>
            <w:hideMark/>
          </w:tcPr>
          <w:p w14:paraId="2A68F98F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Exigir compatibilização técnica e revisões obrigatórias</w:t>
            </w:r>
          </w:p>
        </w:tc>
        <w:tc>
          <w:tcPr>
            <w:tcW w:w="1515" w:type="dxa"/>
            <w:vAlign w:val="center"/>
            <w:hideMark/>
          </w:tcPr>
          <w:p w14:paraId="183A9E72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Fiscal Técnico</w:t>
            </w:r>
          </w:p>
        </w:tc>
      </w:tr>
      <w:tr w:rsidR="009A2A16" w:rsidRPr="009A2A16" w14:paraId="47EAB0DC" w14:textId="77777777" w:rsidTr="009A2A16">
        <w:trPr>
          <w:tblCellSpacing w:w="15" w:type="dxa"/>
        </w:trPr>
        <w:tc>
          <w:tcPr>
            <w:tcW w:w="304" w:type="dxa"/>
            <w:vAlign w:val="center"/>
            <w:hideMark/>
          </w:tcPr>
          <w:p w14:paraId="10A463C3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10</w:t>
            </w:r>
          </w:p>
        </w:tc>
        <w:tc>
          <w:tcPr>
            <w:tcW w:w="2031" w:type="dxa"/>
            <w:vAlign w:val="center"/>
            <w:hideMark/>
          </w:tcPr>
          <w:p w14:paraId="0D93D96E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Não atendimento às normas técnicas (ABNT, DNIT, ANA etc.)</w:t>
            </w:r>
          </w:p>
        </w:tc>
        <w:tc>
          <w:tcPr>
            <w:tcW w:w="1388" w:type="dxa"/>
            <w:vAlign w:val="center"/>
            <w:hideMark/>
          </w:tcPr>
          <w:p w14:paraId="7C08FD2A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Baixa</w:t>
            </w:r>
          </w:p>
        </w:tc>
        <w:tc>
          <w:tcPr>
            <w:tcW w:w="678" w:type="dxa"/>
            <w:vAlign w:val="center"/>
            <w:hideMark/>
          </w:tcPr>
          <w:p w14:paraId="7FE53AE6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679" w:type="dxa"/>
            <w:vAlign w:val="center"/>
            <w:hideMark/>
          </w:tcPr>
          <w:p w14:paraId="1811997F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Médio</w:t>
            </w:r>
          </w:p>
        </w:tc>
        <w:tc>
          <w:tcPr>
            <w:tcW w:w="2663" w:type="dxa"/>
            <w:vAlign w:val="center"/>
            <w:hideMark/>
          </w:tcPr>
          <w:p w14:paraId="763A4E10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Prever cláusula específica de conformidade normativa</w:t>
            </w:r>
          </w:p>
        </w:tc>
        <w:tc>
          <w:tcPr>
            <w:tcW w:w="1515" w:type="dxa"/>
            <w:vAlign w:val="center"/>
            <w:hideMark/>
          </w:tcPr>
          <w:p w14:paraId="35D1AD1B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Fiscal Técnico</w:t>
            </w:r>
          </w:p>
        </w:tc>
      </w:tr>
      <w:tr w:rsidR="009A2A16" w:rsidRPr="009A2A16" w14:paraId="18799006" w14:textId="77777777" w:rsidTr="009A2A16">
        <w:trPr>
          <w:tblCellSpacing w:w="15" w:type="dxa"/>
        </w:trPr>
        <w:tc>
          <w:tcPr>
            <w:tcW w:w="304" w:type="dxa"/>
            <w:vAlign w:val="center"/>
            <w:hideMark/>
          </w:tcPr>
          <w:p w14:paraId="118FCFC7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11</w:t>
            </w:r>
          </w:p>
        </w:tc>
        <w:tc>
          <w:tcPr>
            <w:tcW w:w="2031" w:type="dxa"/>
            <w:vAlign w:val="center"/>
            <w:hideMark/>
          </w:tcPr>
          <w:p w14:paraId="5522AF54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Necessidade de revisões por interferências não mapeadas</w:t>
            </w:r>
          </w:p>
        </w:tc>
        <w:tc>
          <w:tcPr>
            <w:tcW w:w="1388" w:type="dxa"/>
            <w:vAlign w:val="center"/>
            <w:hideMark/>
          </w:tcPr>
          <w:p w14:paraId="2EACFF89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Média</w:t>
            </w:r>
          </w:p>
        </w:tc>
        <w:tc>
          <w:tcPr>
            <w:tcW w:w="678" w:type="dxa"/>
            <w:vAlign w:val="center"/>
            <w:hideMark/>
          </w:tcPr>
          <w:p w14:paraId="3DD3F254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Médio</w:t>
            </w:r>
          </w:p>
        </w:tc>
        <w:tc>
          <w:tcPr>
            <w:tcW w:w="679" w:type="dxa"/>
            <w:vAlign w:val="center"/>
            <w:hideMark/>
          </w:tcPr>
          <w:p w14:paraId="070445E7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Médio</w:t>
            </w:r>
          </w:p>
        </w:tc>
        <w:tc>
          <w:tcPr>
            <w:tcW w:w="2663" w:type="dxa"/>
            <w:vAlign w:val="center"/>
            <w:hideMark/>
          </w:tcPr>
          <w:p w14:paraId="49FA6A09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Prever etapa de diagnóstico detalhado e reuniões técnicas periódicas</w:t>
            </w:r>
          </w:p>
        </w:tc>
        <w:tc>
          <w:tcPr>
            <w:tcW w:w="1515" w:type="dxa"/>
            <w:vAlign w:val="center"/>
            <w:hideMark/>
          </w:tcPr>
          <w:p w14:paraId="26C2C12D" w14:textId="77777777" w:rsidR="009A2A16" w:rsidRPr="009A2A16" w:rsidRDefault="009A2A16" w:rsidP="009A2A1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9A2A16">
              <w:rPr>
                <w:rFonts w:asciiTheme="minorHAnsi" w:eastAsia="Times New Roman" w:hAnsiTheme="minorHAnsi" w:cstheme="minorHAnsi"/>
                <w:lang w:eastAsia="pt-BR"/>
              </w:rPr>
              <w:t>Empresa Contratada</w:t>
            </w:r>
          </w:p>
        </w:tc>
      </w:tr>
    </w:tbl>
    <w:p w14:paraId="4F01340D" w14:textId="50A926C6" w:rsidR="00C751D0" w:rsidRDefault="00C751D0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4415545" w14:textId="77777777" w:rsidR="00845D26" w:rsidRDefault="00845D26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294D715" w14:textId="7F3B93A4" w:rsidR="00CC2DDF" w:rsidRDefault="00C751D0" w:rsidP="00CC2DDF">
      <w:pPr>
        <w:contextualSpacing/>
        <w:rPr>
          <w:rFonts w:ascii="Arial" w:hAnsi="Arial" w:cs="Arial"/>
          <w:b/>
          <w:bCs/>
          <w:sz w:val="24"/>
          <w:szCs w:val="24"/>
        </w:rPr>
      </w:pPr>
      <w:r w:rsidRPr="00CC2DDF">
        <w:rPr>
          <w:rFonts w:ascii="Arial" w:hAnsi="Arial" w:cs="Arial"/>
          <w:b/>
          <w:bCs/>
          <w:sz w:val="24"/>
          <w:szCs w:val="24"/>
        </w:rPr>
        <w:lastRenderedPageBreak/>
        <w:t xml:space="preserve">5. </w:t>
      </w:r>
      <w:r w:rsidR="009A2A16" w:rsidRPr="00845D26">
        <w:rPr>
          <w:rFonts w:ascii="Arial" w:hAnsi="Arial" w:cs="Arial"/>
          <w:b/>
          <w:bCs/>
          <w:sz w:val="24"/>
          <w:szCs w:val="24"/>
        </w:rPr>
        <w:t>Riscos Ambientais e Institucionais</w:t>
      </w:r>
    </w:p>
    <w:p w14:paraId="249E0152" w14:textId="77777777" w:rsidR="00CC2DDF" w:rsidRPr="00CC2DDF" w:rsidRDefault="00CC2DDF" w:rsidP="00CC2DDF">
      <w:pPr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W w:w="9498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2073"/>
        <w:gridCol w:w="1419"/>
        <w:gridCol w:w="708"/>
        <w:gridCol w:w="851"/>
        <w:gridCol w:w="2551"/>
        <w:gridCol w:w="1560"/>
      </w:tblGrid>
      <w:tr w:rsidR="00845D26" w:rsidRPr="00845D26" w14:paraId="3C2A3838" w14:textId="77777777" w:rsidTr="00845D26">
        <w:trPr>
          <w:tblHeader/>
          <w:tblCellSpacing w:w="15" w:type="dxa"/>
        </w:trPr>
        <w:tc>
          <w:tcPr>
            <w:tcW w:w="291" w:type="dxa"/>
            <w:vAlign w:val="center"/>
            <w:hideMark/>
          </w:tcPr>
          <w:p w14:paraId="3A412144" w14:textId="77777777" w:rsidR="00845D26" w:rsidRPr="00845D26" w:rsidRDefault="00845D26" w:rsidP="00845D2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Nº</w:t>
            </w:r>
          </w:p>
        </w:tc>
        <w:tc>
          <w:tcPr>
            <w:tcW w:w="2043" w:type="dxa"/>
            <w:vAlign w:val="center"/>
            <w:hideMark/>
          </w:tcPr>
          <w:p w14:paraId="6FA60930" w14:textId="77777777" w:rsidR="00845D26" w:rsidRPr="00845D26" w:rsidRDefault="00845D26" w:rsidP="00845D2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Risco</w:t>
            </w:r>
          </w:p>
        </w:tc>
        <w:tc>
          <w:tcPr>
            <w:tcW w:w="1389" w:type="dxa"/>
            <w:vAlign w:val="center"/>
            <w:hideMark/>
          </w:tcPr>
          <w:p w14:paraId="4FBB6E52" w14:textId="77777777" w:rsidR="00845D26" w:rsidRPr="00845D26" w:rsidRDefault="00845D26" w:rsidP="00845D2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Probabilidade</w:t>
            </w:r>
          </w:p>
        </w:tc>
        <w:tc>
          <w:tcPr>
            <w:tcW w:w="678" w:type="dxa"/>
            <w:vAlign w:val="center"/>
            <w:hideMark/>
          </w:tcPr>
          <w:p w14:paraId="6484319A" w14:textId="77777777" w:rsidR="00845D26" w:rsidRPr="00845D26" w:rsidRDefault="00845D26" w:rsidP="00845D2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Impacto</w:t>
            </w:r>
          </w:p>
        </w:tc>
        <w:tc>
          <w:tcPr>
            <w:tcW w:w="821" w:type="dxa"/>
            <w:vAlign w:val="center"/>
            <w:hideMark/>
          </w:tcPr>
          <w:p w14:paraId="3E6FDDC7" w14:textId="77777777" w:rsidR="00845D26" w:rsidRPr="00845D26" w:rsidRDefault="00845D26" w:rsidP="00845D2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Nível</w:t>
            </w:r>
          </w:p>
        </w:tc>
        <w:tc>
          <w:tcPr>
            <w:tcW w:w="2521" w:type="dxa"/>
            <w:vAlign w:val="center"/>
            <w:hideMark/>
          </w:tcPr>
          <w:p w14:paraId="649BE64B" w14:textId="77777777" w:rsidR="00845D26" w:rsidRPr="00845D26" w:rsidRDefault="00845D26" w:rsidP="00845D2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Mitigação</w:t>
            </w:r>
          </w:p>
        </w:tc>
        <w:tc>
          <w:tcPr>
            <w:tcW w:w="1515" w:type="dxa"/>
            <w:vAlign w:val="center"/>
            <w:hideMark/>
          </w:tcPr>
          <w:p w14:paraId="4BDEC4A1" w14:textId="77777777" w:rsidR="00845D26" w:rsidRPr="00845D26" w:rsidRDefault="00845D26" w:rsidP="00845D2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Responsável</w:t>
            </w:r>
          </w:p>
        </w:tc>
      </w:tr>
      <w:tr w:rsidR="00845D26" w:rsidRPr="00845D26" w14:paraId="0F50185A" w14:textId="77777777" w:rsidTr="00845D26">
        <w:trPr>
          <w:tblCellSpacing w:w="15" w:type="dxa"/>
        </w:trPr>
        <w:tc>
          <w:tcPr>
            <w:tcW w:w="291" w:type="dxa"/>
            <w:vAlign w:val="center"/>
            <w:hideMark/>
          </w:tcPr>
          <w:p w14:paraId="3ABB8D1E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12</w:t>
            </w:r>
          </w:p>
        </w:tc>
        <w:tc>
          <w:tcPr>
            <w:tcW w:w="2043" w:type="dxa"/>
            <w:vAlign w:val="center"/>
            <w:hideMark/>
          </w:tcPr>
          <w:p w14:paraId="48218A65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Indeferimento de licença ambiental</w:t>
            </w:r>
          </w:p>
        </w:tc>
        <w:tc>
          <w:tcPr>
            <w:tcW w:w="1389" w:type="dxa"/>
            <w:vAlign w:val="center"/>
            <w:hideMark/>
          </w:tcPr>
          <w:p w14:paraId="49C71E01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Média</w:t>
            </w:r>
          </w:p>
        </w:tc>
        <w:tc>
          <w:tcPr>
            <w:tcW w:w="678" w:type="dxa"/>
            <w:vAlign w:val="center"/>
            <w:hideMark/>
          </w:tcPr>
          <w:p w14:paraId="76D6F9FB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821" w:type="dxa"/>
            <w:vAlign w:val="center"/>
            <w:hideMark/>
          </w:tcPr>
          <w:p w14:paraId="3041086C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2521" w:type="dxa"/>
            <w:vAlign w:val="center"/>
            <w:hideMark/>
          </w:tcPr>
          <w:p w14:paraId="49ECE2FD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Alinhamento prévio com órgão ambiental estadual</w:t>
            </w:r>
          </w:p>
        </w:tc>
        <w:tc>
          <w:tcPr>
            <w:tcW w:w="1515" w:type="dxa"/>
            <w:vAlign w:val="center"/>
            <w:hideMark/>
          </w:tcPr>
          <w:p w14:paraId="1FCCCFE4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Secretaria de Meio Ambiente</w:t>
            </w:r>
          </w:p>
        </w:tc>
      </w:tr>
      <w:tr w:rsidR="00845D26" w:rsidRPr="00845D26" w14:paraId="063CB759" w14:textId="77777777" w:rsidTr="00845D26">
        <w:trPr>
          <w:tblCellSpacing w:w="15" w:type="dxa"/>
        </w:trPr>
        <w:tc>
          <w:tcPr>
            <w:tcW w:w="291" w:type="dxa"/>
            <w:vAlign w:val="center"/>
            <w:hideMark/>
          </w:tcPr>
          <w:p w14:paraId="0EC2E2DB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13</w:t>
            </w:r>
          </w:p>
        </w:tc>
        <w:tc>
          <w:tcPr>
            <w:tcW w:w="2043" w:type="dxa"/>
            <w:vAlign w:val="center"/>
            <w:hideMark/>
          </w:tcPr>
          <w:p w14:paraId="65859AD6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Interferência de áreas de APP</w:t>
            </w:r>
          </w:p>
        </w:tc>
        <w:tc>
          <w:tcPr>
            <w:tcW w:w="1389" w:type="dxa"/>
            <w:vAlign w:val="center"/>
            <w:hideMark/>
          </w:tcPr>
          <w:p w14:paraId="5191F52F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Alta</w:t>
            </w:r>
          </w:p>
        </w:tc>
        <w:tc>
          <w:tcPr>
            <w:tcW w:w="678" w:type="dxa"/>
            <w:vAlign w:val="center"/>
            <w:hideMark/>
          </w:tcPr>
          <w:p w14:paraId="6777E610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821" w:type="dxa"/>
            <w:vAlign w:val="center"/>
            <w:hideMark/>
          </w:tcPr>
          <w:p w14:paraId="7DC1D36B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Crítico</w:t>
            </w:r>
          </w:p>
        </w:tc>
        <w:tc>
          <w:tcPr>
            <w:tcW w:w="2521" w:type="dxa"/>
            <w:vAlign w:val="center"/>
            <w:hideMark/>
          </w:tcPr>
          <w:p w14:paraId="0FD8A763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Estudos ambientais detalhados e observância ao Código Florestal</w:t>
            </w:r>
          </w:p>
        </w:tc>
        <w:tc>
          <w:tcPr>
            <w:tcW w:w="1515" w:type="dxa"/>
            <w:vAlign w:val="center"/>
            <w:hideMark/>
          </w:tcPr>
          <w:p w14:paraId="059A29A8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Empresa Contratada</w:t>
            </w:r>
          </w:p>
        </w:tc>
      </w:tr>
      <w:tr w:rsidR="00845D26" w:rsidRPr="00845D26" w14:paraId="0C850379" w14:textId="77777777" w:rsidTr="00845D26">
        <w:trPr>
          <w:tblCellSpacing w:w="15" w:type="dxa"/>
        </w:trPr>
        <w:tc>
          <w:tcPr>
            <w:tcW w:w="291" w:type="dxa"/>
            <w:vAlign w:val="center"/>
            <w:hideMark/>
          </w:tcPr>
          <w:p w14:paraId="62529657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14</w:t>
            </w:r>
          </w:p>
        </w:tc>
        <w:tc>
          <w:tcPr>
            <w:tcW w:w="2043" w:type="dxa"/>
            <w:vAlign w:val="center"/>
            <w:hideMark/>
          </w:tcPr>
          <w:p w14:paraId="155E6C9D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Questionamentos pelo Tribunal de Contas do Estado de Pernambuco</w:t>
            </w:r>
          </w:p>
        </w:tc>
        <w:tc>
          <w:tcPr>
            <w:tcW w:w="1389" w:type="dxa"/>
            <w:vAlign w:val="center"/>
            <w:hideMark/>
          </w:tcPr>
          <w:p w14:paraId="627970D1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Média</w:t>
            </w:r>
          </w:p>
        </w:tc>
        <w:tc>
          <w:tcPr>
            <w:tcW w:w="678" w:type="dxa"/>
            <w:vAlign w:val="center"/>
            <w:hideMark/>
          </w:tcPr>
          <w:p w14:paraId="67E9DB17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821" w:type="dxa"/>
            <w:vAlign w:val="center"/>
            <w:hideMark/>
          </w:tcPr>
          <w:p w14:paraId="1186E10B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Alto</w:t>
            </w:r>
          </w:p>
        </w:tc>
        <w:tc>
          <w:tcPr>
            <w:tcW w:w="2521" w:type="dxa"/>
            <w:vAlign w:val="center"/>
            <w:hideMark/>
          </w:tcPr>
          <w:p w14:paraId="7E7414BF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Justificativas técnicas robustas, ETP consistente e matriz de riscos formalizada</w:t>
            </w:r>
          </w:p>
        </w:tc>
        <w:tc>
          <w:tcPr>
            <w:tcW w:w="1515" w:type="dxa"/>
            <w:vAlign w:val="center"/>
            <w:hideMark/>
          </w:tcPr>
          <w:p w14:paraId="464CD49A" w14:textId="77777777" w:rsidR="00845D26" w:rsidRPr="00845D26" w:rsidRDefault="00845D26" w:rsidP="00845D26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lang w:eastAsia="pt-BR"/>
              </w:rPr>
            </w:pPr>
            <w:r w:rsidRPr="00845D26">
              <w:rPr>
                <w:rFonts w:asciiTheme="minorHAnsi" w:eastAsia="Times New Roman" w:hAnsiTheme="minorHAnsi" w:cstheme="minorHAnsi"/>
                <w:lang w:eastAsia="pt-BR"/>
              </w:rPr>
              <w:t>Controle Interno</w:t>
            </w:r>
          </w:p>
        </w:tc>
      </w:tr>
    </w:tbl>
    <w:p w14:paraId="1F92B50D" w14:textId="00A70DE8" w:rsidR="00C751D0" w:rsidRDefault="00C751D0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3A53B9F" w14:textId="77777777" w:rsidR="00845D26" w:rsidRPr="00845D26" w:rsidRDefault="00845D26" w:rsidP="00845D26">
      <w:pPr>
        <w:pStyle w:val="Ttulo1"/>
        <w:rPr>
          <w:rFonts w:ascii="Arial" w:eastAsia="Calibri" w:hAnsi="Arial" w:cs="Arial"/>
          <w:b/>
          <w:bCs/>
          <w:color w:val="auto"/>
          <w:sz w:val="24"/>
          <w:szCs w:val="24"/>
        </w:rPr>
      </w:pPr>
      <w:r w:rsidRPr="00845D26">
        <w:rPr>
          <w:rFonts w:ascii="Arial" w:eastAsia="Calibri" w:hAnsi="Arial" w:cs="Arial"/>
          <w:b/>
          <w:bCs/>
          <w:color w:val="auto"/>
          <w:sz w:val="24"/>
          <w:szCs w:val="24"/>
        </w:rPr>
        <w:t>Classificação de Nível de Risco (Sugestão)</w:t>
      </w:r>
    </w:p>
    <w:p w14:paraId="64ED1688" w14:textId="77777777" w:rsidR="00845D26" w:rsidRPr="00845D26" w:rsidRDefault="00845D26" w:rsidP="00845D26">
      <w:pPr>
        <w:pStyle w:val="NormalWeb"/>
        <w:numPr>
          <w:ilvl w:val="0"/>
          <w:numId w:val="3"/>
        </w:numPr>
        <w:suppressAutoHyphens w:val="0"/>
        <w:spacing w:before="100" w:after="100"/>
        <w:rPr>
          <w:rFonts w:ascii="Arial" w:eastAsia="Times New Roman" w:hAnsi="Arial" w:cs="Arial"/>
          <w:sz w:val="24"/>
          <w:szCs w:val="24"/>
        </w:rPr>
      </w:pPr>
      <w:r w:rsidRPr="00845D26">
        <w:rPr>
          <w:rFonts w:ascii="Arial" w:eastAsia="Times New Roman" w:hAnsi="Arial" w:cs="Arial"/>
          <w:b/>
          <w:bCs/>
          <w:sz w:val="24"/>
          <w:szCs w:val="24"/>
        </w:rPr>
        <w:t>Baixo:</w:t>
      </w:r>
      <w:r w:rsidRPr="00845D26">
        <w:rPr>
          <w:rFonts w:ascii="Arial" w:eastAsia="Times New Roman" w:hAnsi="Arial" w:cs="Arial"/>
          <w:sz w:val="24"/>
          <w:szCs w:val="24"/>
        </w:rPr>
        <w:t xml:space="preserve"> Monitoramento simples</w:t>
      </w:r>
    </w:p>
    <w:p w14:paraId="76863C17" w14:textId="77777777" w:rsidR="00845D26" w:rsidRPr="00845D26" w:rsidRDefault="00845D26" w:rsidP="00845D26">
      <w:pPr>
        <w:pStyle w:val="NormalWeb"/>
        <w:numPr>
          <w:ilvl w:val="0"/>
          <w:numId w:val="3"/>
        </w:numPr>
        <w:suppressAutoHyphens w:val="0"/>
        <w:spacing w:before="100" w:after="100"/>
        <w:rPr>
          <w:rFonts w:ascii="Arial" w:eastAsia="Times New Roman" w:hAnsi="Arial" w:cs="Arial"/>
          <w:sz w:val="24"/>
          <w:szCs w:val="24"/>
        </w:rPr>
      </w:pPr>
      <w:r w:rsidRPr="00845D26">
        <w:rPr>
          <w:rFonts w:ascii="Arial" w:eastAsia="Times New Roman" w:hAnsi="Arial" w:cs="Arial"/>
          <w:b/>
          <w:bCs/>
          <w:sz w:val="24"/>
          <w:szCs w:val="24"/>
        </w:rPr>
        <w:t>Médio:</w:t>
      </w:r>
      <w:r w:rsidRPr="00845D26">
        <w:rPr>
          <w:rFonts w:ascii="Arial" w:eastAsia="Times New Roman" w:hAnsi="Arial" w:cs="Arial"/>
          <w:sz w:val="24"/>
          <w:szCs w:val="24"/>
        </w:rPr>
        <w:t xml:space="preserve"> Controle periódico</w:t>
      </w:r>
    </w:p>
    <w:p w14:paraId="16BC32A6" w14:textId="77777777" w:rsidR="00845D26" w:rsidRPr="00845D26" w:rsidRDefault="00845D26" w:rsidP="00845D26">
      <w:pPr>
        <w:pStyle w:val="NormalWeb"/>
        <w:numPr>
          <w:ilvl w:val="0"/>
          <w:numId w:val="3"/>
        </w:numPr>
        <w:suppressAutoHyphens w:val="0"/>
        <w:spacing w:before="100" w:after="100"/>
        <w:rPr>
          <w:rFonts w:ascii="Arial" w:eastAsia="Times New Roman" w:hAnsi="Arial" w:cs="Arial"/>
          <w:sz w:val="24"/>
          <w:szCs w:val="24"/>
        </w:rPr>
      </w:pPr>
      <w:r w:rsidRPr="00845D26">
        <w:rPr>
          <w:rFonts w:ascii="Arial" w:eastAsia="Times New Roman" w:hAnsi="Arial" w:cs="Arial"/>
          <w:b/>
          <w:bCs/>
          <w:sz w:val="24"/>
          <w:szCs w:val="24"/>
        </w:rPr>
        <w:t>Alto:</w:t>
      </w:r>
      <w:r w:rsidRPr="00845D26">
        <w:rPr>
          <w:rFonts w:ascii="Arial" w:eastAsia="Times New Roman" w:hAnsi="Arial" w:cs="Arial"/>
          <w:sz w:val="24"/>
          <w:szCs w:val="24"/>
        </w:rPr>
        <w:t xml:space="preserve"> Plano de ação formal</w:t>
      </w:r>
    </w:p>
    <w:p w14:paraId="4CEFBA2F" w14:textId="77777777" w:rsidR="00845D26" w:rsidRPr="00845D26" w:rsidRDefault="00845D26" w:rsidP="00845D26">
      <w:pPr>
        <w:pStyle w:val="NormalWeb"/>
        <w:numPr>
          <w:ilvl w:val="0"/>
          <w:numId w:val="3"/>
        </w:numPr>
        <w:suppressAutoHyphens w:val="0"/>
        <w:spacing w:before="100" w:after="100"/>
        <w:rPr>
          <w:rFonts w:ascii="Arial" w:eastAsia="Times New Roman" w:hAnsi="Arial" w:cs="Arial"/>
          <w:sz w:val="24"/>
          <w:szCs w:val="24"/>
        </w:rPr>
      </w:pPr>
      <w:r w:rsidRPr="00845D26">
        <w:rPr>
          <w:rFonts w:ascii="Arial" w:eastAsia="Times New Roman" w:hAnsi="Arial" w:cs="Arial"/>
          <w:b/>
          <w:bCs/>
          <w:sz w:val="24"/>
          <w:szCs w:val="24"/>
        </w:rPr>
        <w:t>Crítico:</w:t>
      </w:r>
      <w:r w:rsidRPr="00845D26">
        <w:rPr>
          <w:rFonts w:ascii="Arial" w:eastAsia="Times New Roman" w:hAnsi="Arial" w:cs="Arial"/>
          <w:sz w:val="24"/>
          <w:szCs w:val="24"/>
        </w:rPr>
        <w:t xml:space="preserve"> Acompanhamento permanente da alta gestão</w:t>
      </w:r>
    </w:p>
    <w:p w14:paraId="6B31E0F8" w14:textId="77777777" w:rsidR="00C751D0" w:rsidRDefault="00C751D0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F5F8FCA" w14:textId="0AB16481" w:rsid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Belo Jardim, </w:t>
      </w:r>
      <w:r w:rsidR="00845D26">
        <w:rPr>
          <w:rFonts w:ascii="Arial" w:eastAsia="Times New Roman" w:hAnsi="Arial" w:cs="Arial"/>
          <w:sz w:val="24"/>
          <w:szCs w:val="24"/>
          <w:lang w:eastAsia="pt-BR"/>
        </w:rPr>
        <w:t>2</w:t>
      </w:r>
      <w:r w:rsidR="007D57BD">
        <w:rPr>
          <w:rFonts w:ascii="Arial" w:eastAsia="Times New Roman" w:hAnsi="Arial" w:cs="Arial"/>
          <w:sz w:val="24"/>
          <w:szCs w:val="24"/>
          <w:lang w:eastAsia="pt-BR"/>
        </w:rPr>
        <w:t>6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845D26">
        <w:rPr>
          <w:rFonts w:ascii="Arial" w:eastAsia="Times New Roman" w:hAnsi="Arial" w:cs="Arial"/>
          <w:sz w:val="24"/>
          <w:szCs w:val="24"/>
          <w:lang w:eastAsia="pt-BR"/>
        </w:rPr>
        <w:t>fever</w:t>
      </w:r>
      <w:bookmarkStart w:id="0" w:name="_GoBack"/>
      <w:bookmarkEnd w:id="0"/>
      <w:r w:rsidRPr="002855CD">
        <w:rPr>
          <w:rFonts w:ascii="Arial" w:eastAsia="Times New Roman" w:hAnsi="Arial" w:cs="Arial"/>
          <w:sz w:val="24"/>
          <w:szCs w:val="24"/>
          <w:lang w:eastAsia="pt-BR"/>
        </w:rPr>
        <w:t>eiro de 202</w:t>
      </w:r>
      <w:r>
        <w:rPr>
          <w:rFonts w:ascii="Arial" w:eastAsia="Times New Roman" w:hAnsi="Arial" w:cs="Arial"/>
          <w:sz w:val="24"/>
          <w:szCs w:val="24"/>
          <w:lang w:eastAsia="pt-BR"/>
        </w:rPr>
        <w:t>6</w:t>
      </w:r>
    </w:p>
    <w:p w14:paraId="2C8C5C5B" w14:textId="77777777" w:rsidR="008146D0" w:rsidRPr="008146D0" w:rsidRDefault="008146D0" w:rsidP="008146D0">
      <w:pPr>
        <w:rPr>
          <w:rFonts w:ascii="Arial" w:eastAsia="Arial" w:hAnsi="Arial" w:cs="Arial"/>
          <w:sz w:val="24"/>
          <w:szCs w:val="24"/>
        </w:rPr>
      </w:pPr>
    </w:p>
    <w:p w14:paraId="41A06C96" w14:textId="77777777" w:rsidR="00BB3816" w:rsidRDefault="00BB3816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JOEDNA DE SOUZA SANTOS</w:t>
      </w:r>
    </w:p>
    <w:p w14:paraId="427291AE" w14:textId="30693CD0" w:rsidR="00BB3816" w:rsidRDefault="00BB3816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 w:rsidRPr="009F0912">
        <w:rPr>
          <w:rFonts w:ascii="Arial" w:eastAsia="Arial" w:hAnsi="Arial" w:cs="Arial"/>
          <w:sz w:val="24"/>
          <w:szCs w:val="24"/>
        </w:rPr>
        <w:t xml:space="preserve">Secretária de </w:t>
      </w:r>
      <w:r>
        <w:rPr>
          <w:rFonts w:ascii="Arial" w:eastAsia="Arial" w:hAnsi="Arial" w:cs="Arial"/>
          <w:sz w:val="24"/>
          <w:szCs w:val="24"/>
        </w:rPr>
        <w:t>I</w:t>
      </w:r>
      <w:r w:rsidRPr="009F0912">
        <w:rPr>
          <w:rFonts w:ascii="Arial" w:eastAsia="Arial" w:hAnsi="Arial" w:cs="Arial"/>
          <w:sz w:val="24"/>
          <w:szCs w:val="24"/>
        </w:rPr>
        <w:t xml:space="preserve">nfraestrutura e </w:t>
      </w:r>
      <w:r>
        <w:rPr>
          <w:rFonts w:ascii="Arial" w:eastAsia="Arial" w:hAnsi="Arial" w:cs="Arial"/>
          <w:sz w:val="24"/>
          <w:szCs w:val="24"/>
        </w:rPr>
        <w:t>U</w:t>
      </w:r>
      <w:r w:rsidRPr="009F0912">
        <w:rPr>
          <w:rFonts w:ascii="Arial" w:eastAsia="Arial" w:hAnsi="Arial" w:cs="Arial"/>
          <w:sz w:val="24"/>
          <w:szCs w:val="24"/>
        </w:rPr>
        <w:t>rbanismo</w:t>
      </w:r>
    </w:p>
    <w:p w14:paraId="504EC6E9" w14:textId="7931C031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04A7190E" w14:textId="1978EE4D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69774859" w14:textId="1FD620D7" w:rsidR="007D57BD" w:rsidRDefault="007D57BD" w:rsidP="007D57BD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AUGUSTO LINS E SILVA FILHO</w:t>
      </w:r>
    </w:p>
    <w:p w14:paraId="201F65E3" w14:textId="6A12C256" w:rsidR="007D57BD" w:rsidRDefault="007D57BD" w:rsidP="007D57BD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Diretor de Engenharia</w:t>
      </w:r>
    </w:p>
    <w:p w14:paraId="4F5ACD00" w14:textId="77777777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25471C4D" w14:textId="1FBFDF89" w:rsidR="008146D0" w:rsidRDefault="008146D0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1EEF4165" w14:textId="77777777" w:rsidR="008146D0" w:rsidRDefault="008146D0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6D5B733E" w14:textId="77777777" w:rsidR="00BF37B3" w:rsidRPr="00BF37B3" w:rsidRDefault="00BF37B3" w:rsidP="00BF37B3">
      <w:pPr>
        <w:rPr>
          <w:rFonts w:ascii="Times New Roman" w:eastAsia="Times New Roman" w:hAnsi="Times New Roman"/>
          <w:sz w:val="24"/>
          <w:szCs w:val="24"/>
          <w:lang w:eastAsia="pt-BR"/>
        </w:rPr>
      </w:pPr>
    </w:p>
    <w:sectPr w:rsidR="00BF37B3" w:rsidRPr="00BF37B3" w:rsidSect="002855CD">
      <w:headerReference w:type="default" r:id="rId8"/>
      <w:footerReference w:type="default" r:id="rId9"/>
      <w:pgSz w:w="11906" w:h="16838"/>
      <w:pgMar w:top="1417" w:right="1701" w:bottom="1417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5F09A" w14:textId="77777777" w:rsidR="00732926" w:rsidRDefault="00732926">
      <w:pPr>
        <w:spacing w:after="0" w:line="240" w:lineRule="auto"/>
      </w:pPr>
      <w:r>
        <w:separator/>
      </w:r>
    </w:p>
  </w:endnote>
  <w:endnote w:type="continuationSeparator" w:id="0">
    <w:p w14:paraId="0E6EE25C" w14:textId="77777777" w:rsidR="00732926" w:rsidRDefault="0073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0E45F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Av. Deputado José Mendonça Bezerra, nº 220 – Centro - Belo Jardim – PE.</w:t>
    </w:r>
  </w:p>
  <w:p w14:paraId="5815D85E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CEP: 55150-005 - CNPJ: 10.260.222/0001-05</w:t>
    </w:r>
  </w:p>
  <w:p w14:paraId="591A6F67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www.belojardim.pe.gov.br</w:t>
    </w:r>
  </w:p>
  <w:p w14:paraId="6630B9C7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  <w:p w14:paraId="7653EEB1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AD7ED" w14:textId="77777777" w:rsidR="00732926" w:rsidRDefault="00732926">
      <w:pPr>
        <w:spacing w:after="0" w:line="240" w:lineRule="auto"/>
      </w:pPr>
      <w:r>
        <w:separator/>
      </w:r>
    </w:p>
  </w:footnote>
  <w:footnote w:type="continuationSeparator" w:id="0">
    <w:p w14:paraId="0B543B8F" w14:textId="77777777" w:rsidR="00732926" w:rsidRDefault="0073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D2AE2" w14:textId="47AD9B25" w:rsidR="006666B1" w:rsidRDefault="00F01131">
    <w:pPr>
      <w:pStyle w:val="Cabealho"/>
      <w:jc w:val="center"/>
      <w:rPr>
        <w:rFonts w:ascii="Arial" w:hAnsi="Arial" w:cs="Arial"/>
        <w:color w:val="333399"/>
        <w:sz w:val="17"/>
        <w:szCs w:val="17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A25B254" wp14:editId="193F4A6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827587" cy="632379"/>
          <wp:effectExtent l="0" t="0" r="0" b="0"/>
          <wp:wrapNone/>
          <wp:docPr id="3" name="Imagem 3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7587" cy="63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A2E94E" w14:textId="77777777" w:rsidR="006666B1" w:rsidRDefault="006666B1">
    <w:pPr>
      <w:pStyle w:val="Cabealho"/>
      <w:jc w:val="center"/>
      <w:rPr>
        <w:rFonts w:ascii="Arial" w:hAnsi="Arial" w:cs="Arial"/>
        <w:color w:val="333399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718"/>
    <w:multiLevelType w:val="multilevel"/>
    <w:tmpl w:val="8042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3161C"/>
    <w:multiLevelType w:val="multilevel"/>
    <w:tmpl w:val="B65C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C151D7"/>
    <w:multiLevelType w:val="multilevel"/>
    <w:tmpl w:val="CA80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B1"/>
    <w:rsid w:val="00044D69"/>
    <w:rsid w:val="000B3519"/>
    <w:rsid w:val="000E4AA4"/>
    <w:rsid w:val="001050BC"/>
    <w:rsid w:val="001A1146"/>
    <w:rsid w:val="001D5501"/>
    <w:rsid w:val="001E0B29"/>
    <w:rsid w:val="00274FE5"/>
    <w:rsid w:val="002855CD"/>
    <w:rsid w:val="002A3D36"/>
    <w:rsid w:val="002B4835"/>
    <w:rsid w:val="0031495E"/>
    <w:rsid w:val="00321351"/>
    <w:rsid w:val="003E3693"/>
    <w:rsid w:val="00424F74"/>
    <w:rsid w:val="004404E8"/>
    <w:rsid w:val="00462FC4"/>
    <w:rsid w:val="004A6B5D"/>
    <w:rsid w:val="004D7010"/>
    <w:rsid w:val="004E5E2A"/>
    <w:rsid w:val="004F7430"/>
    <w:rsid w:val="0059782F"/>
    <w:rsid w:val="005B2554"/>
    <w:rsid w:val="00621D60"/>
    <w:rsid w:val="006666B1"/>
    <w:rsid w:val="006B3CCB"/>
    <w:rsid w:val="00707DC6"/>
    <w:rsid w:val="00732926"/>
    <w:rsid w:val="007D57BD"/>
    <w:rsid w:val="008146D0"/>
    <w:rsid w:val="00845D26"/>
    <w:rsid w:val="008E1BAE"/>
    <w:rsid w:val="009267BE"/>
    <w:rsid w:val="0096082D"/>
    <w:rsid w:val="00983808"/>
    <w:rsid w:val="009A2A16"/>
    <w:rsid w:val="00AF3F2E"/>
    <w:rsid w:val="00B259A8"/>
    <w:rsid w:val="00B403B2"/>
    <w:rsid w:val="00B64306"/>
    <w:rsid w:val="00B85EA6"/>
    <w:rsid w:val="00BB3816"/>
    <w:rsid w:val="00BF37B3"/>
    <w:rsid w:val="00C35FAA"/>
    <w:rsid w:val="00C751D0"/>
    <w:rsid w:val="00CC2DDF"/>
    <w:rsid w:val="00CC6E5A"/>
    <w:rsid w:val="00D242D8"/>
    <w:rsid w:val="00D3645C"/>
    <w:rsid w:val="00D73BBD"/>
    <w:rsid w:val="00DD43DA"/>
    <w:rsid w:val="00DF2000"/>
    <w:rsid w:val="00E13C08"/>
    <w:rsid w:val="00E309E8"/>
    <w:rsid w:val="00E475D8"/>
    <w:rsid w:val="00F01131"/>
    <w:rsid w:val="00F814D6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657E3"/>
  <w15:docId w15:val="{84C33B6E-77F1-48A4-8A31-6CAEA9F6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D9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45D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2B756E"/>
  </w:style>
  <w:style w:type="character" w:customStyle="1" w:styleId="RodapChar">
    <w:name w:val="Rodapé Char"/>
    <w:basedOn w:val="Fontepargpadro"/>
    <w:link w:val="Rodap"/>
    <w:uiPriority w:val="99"/>
    <w:qFormat/>
    <w:rsid w:val="002B756E"/>
  </w:style>
  <w:style w:type="character" w:customStyle="1" w:styleId="TextodebaloChar">
    <w:name w:val="Texto de balão Char"/>
    <w:link w:val="Textodebalo"/>
    <w:uiPriority w:val="99"/>
    <w:semiHidden/>
    <w:qFormat/>
    <w:rsid w:val="00125E92"/>
    <w:rPr>
      <w:rFonts w:ascii="Tahoma" w:hAnsi="Tahoma" w:cs="Tahoma"/>
      <w:sz w:val="16"/>
      <w:szCs w:val="16"/>
      <w:lang w:eastAsia="en-US"/>
    </w:rPr>
  </w:style>
  <w:style w:type="character" w:customStyle="1" w:styleId="LinkdaInternet">
    <w:name w:val="Link da Internet"/>
    <w:uiPriority w:val="99"/>
    <w:unhideWhenUsed/>
    <w:rsid w:val="00021507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10924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25E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B109B"/>
    <w:pPr>
      <w:ind w:left="708"/>
    </w:pPr>
  </w:style>
  <w:style w:type="paragraph" w:styleId="NormalWeb">
    <w:name w:val="Normal (Web)"/>
    <w:basedOn w:val="Normal"/>
    <w:uiPriority w:val="99"/>
    <w:unhideWhenUsed/>
    <w:qFormat/>
    <w:rsid w:val="00454F94"/>
    <w:pPr>
      <w:spacing w:beforeAutospacing="1" w:afterAutospacing="1" w:line="240" w:lineRule="auto"/>
    </w:pPr>
    <w:rPr>
      <w:rFonts w:eastAsiaTheme="minorHAnsi" w:cs="Calibri"/>
      <w:lang w:eastAsia="pt-BR"/>
    </w:rPr>
  </w:style>
  <w:style w:type="paragraph" w:customStyle="1" w:styleId="western">
    <w:name w:val="western"/>
    <w:basedOn w:val="Normal"/>
    <w:qFormat/>
    <w:rsid w:val="00360E31"/>
    <w:pPr>
      <w:spacing w:beforeAutospacing="1" w:after="142" w:line="288" w:lineRule="auto"/>
    </w:pPr>
    <w:rPr>
      <w:rFonts w:eastAsia="Times New Roman" w:cs="Calibri"/>
      <w:color w:val="00000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855C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2855CD"/>
    <w:rPr>
      <w:rFonts w:ascii="Times New Roman" w:eastAsia="Times New Roman" w:hAnsi="Times New Roman"/>
      <w:b/>
      <w:bCs/>
      <w:sz w:val="27"/>
      <w:szCs w:val="27"/>
    </w:rPr>
  </w:style>
  <w:style w:type="character" w:styleId="Forte">
    <w:name w:val="Strong"/>
    <w:basedOn w:val="Fontepargpadro"/>
    <w:uiPriority w:val="22"/>
    <w:qFormat/>
    <w:rsid w:val="002855CD"/>
    <w:rPr>
      <w:b/>
      <w:bCs/>
    </w:rPr>
  </w:style>
  <w:style w:type="character" w:styleId="nfase">
    <w:name w:val="Emphasis"/>
    <w:basedOn w:val="Fontepargpadro"/>
    <w:uiPriority w:val="20"/>
    <w:qFormat/>
    <w:rsid w:val="002855CD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845D2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A5BF8-4D96-4B33-BD39-8D9039AAD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514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Belo Jardim, em 10 de junho de 2008</vt:lpstr>
    </vt:vector>
  </TitlesOfParts>
  <Company>GG Galvão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 Jardim, em 10 de junho de 2008</dc:title>
  <dc:subject/>
  <dc:creator>Gilvam George Galvão Cavalcante</dc:creator>
  <dc:description/>
  <cp:lastModifiedBy>Thiago Diniz</cp:lastModifiedBy>
  <cp:revision>10</cp:revision>
  <cp:lastPrinted>2024-08-05T11:51:00Z</cp:lastPrinted>
  <dcterms:created xsi:type="dcterms:W3CDTF">2025-01-06T12:04:00Z</dcterms:created>
  <dcterms:modified xsi:type="dcterms:W3CDTF">2026-02-26T13:20:00Z</dcterms:modified>
  <dc:language>pt-BR</dc:language>
</cp:coreProperties>
</file>